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8DD2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2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附件2 </w:t>
      </w:r>
    </w:p>
    <w:p w14:paraId="3832F9D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lang w:val="en-US" w:eastAsia="zh-CN"/>
        </w:rPr>
        <w:t>2026年度高等教育教学改革入库项目指南</w:t>
      </w:r>
    </w:p>
    <w:p w14:paraId="44DC99D2">
      <w:pPr>
        <w:spacing w:line="560" w:lineRule="exact"/>
        <w:jc w:val="center"/>
        <w:rPr>
          <w:rFonts w:hint="eastAsia" w:ascii="仿宋_GB2312" w:hAnsi="仿宋" w:eastAsia="仿宋_GB2312" w:cs="宋体"/>
          <w:b/>
          <w:bCs w:val="0"/>
          <w:color w:val="000000"/>
          <w:kern w:val="0"/>
          <w:sz w:val="32"/>
          <w:szCs w:val="32"/>
          <w:lang w:val="en-US" w:eastAsia="zh-CN"/>
        </w:rPr>
      </w:pPr>
    </w:p>
    <w:p w14:paraId="50490089">
      <w:pPr>
        <w:spacing w:line="560" w:lineRule="exact"/>
        <w:jc w:val="both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/>
        </w:rPr>
        <w:t>选题一：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/>
        </w:rPr>
        <w:t>未来课堂建设</w:t>
      </w:r>
    </w:p>
    <w:p w14:paraId="2C306BC3">
      <w:pPr>
        <w:spacing w:line="560" w:lineRule="exact"/>
        <w:ind w:firstLine="640"/>
        <w:rPr>
          <w:rFonts w:ascii="仿宋_GB2312" w:hAnsi="仿宋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</w:rPr>
        <w:t>面向未来农业发展趋势，结合学校未来农业学院建设布局，以项目为载体推动课程内容、教学模式与评价方式的深度创新改革。项目须打破课程传统教学结构，围绕智慧农业、生物育种、生态农业、农业大数据、食品健康等前沿领域，引入产业真实问题或科研攻关项目，构建</w:t>
      </w:r>
      <w:r>
        <w:rPr>
          <w:rFonts w:hint="eastAsia" w:ascii="仿宋_GB2312" w:hAnsi="仿宋" w:eastAsia="仿宋_GB2312" w:cs="宋体"/>
          <w:b/>
          <w:color w:val="000000"/>
          <w:kern w:val="0"/>
          <w:sz w:val="32"/>
          <w:szCs w:val="32"/>
        </w:rPr>
        <w:t>项目驱动—实践探究—成果产出</w:t>
      </w:r>
      <w:r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</w:rPr>
        <w:t>闭环的新型课程形态，促进学生知识迁移与高阶能力提升。课程应聚焦未来农业关键科学与技术问题，融合未来农业真实应用场景为实践场域，整合多学科知识，重点培养系统思维、工程实践、创新能力和解决复杂问题的能力，引导学生在项目完成过程中实现知识建构、能力提升与价值塑造。</w:t>
      </w:r>
    </w:p>
    <w:p w14:paraId="01B2A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验收要求</w:t>
      </w:r>
    </w:p>
    <w:p w14:paraId="3BCFA7E4">
      <w:pPr>
        <w:spacing w:line="560" w:lineRule="exact"/>
        <w:ind w:firstLine="643" w:firstLineChars="200"/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b/>
          <w:color w:val="000000"/>
          <w:kern w:val="0"/>
          <w:sz w:val="32"/>
          <w:szCs w:val="32"/>
        </w:rPr>
        <w:t>一是项目驱动教学设计，</w:t>
      </w:r>
      <w:r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</w:rPr>
        <w:t>以来自真实产业需求或科研攻关的复杂问题为项目主题，将项目拆解为若干教学模块，贯穿课程教学全过程。</w:t>
      </w:r>
    </w:p>
    <w:p w14:paraId="368B4F15">
      <w:pPr>
        <w:spacing w:line="560" w:lineRule="exact"/>
        <w:ind w:firstLine="643" w:firstLineChars="200"/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color w:val="000000"/>
          <w:kern w:val="0"/>
          <w:sz w:val="32"/>
          <w:szCs w:val="32"/>
        </w:rPr>
        <w:t>二是课程内容深度融合，</w:t>
      </w:r>
      <w:r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</w:rPr>
        <w:t>打破传统学科知识壁垒，有机整合多学科知识体系，课程内容紧密对接农业人工智能、智慧农业装备、精准育种、农业大数据等前沿领域。</w:t>
      </w:r>
    </w:p>
    <w:p w14:paraId="33D20BDF">
      <w:pPr>
        <w:spacing w:line="560" w:lineRule="exact"/>
        <w:ind w:firstLine="643" w:firstLineChars="200"/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color w:val="000000"/>
          <w:kern w:val="0"/>
          <w:sz w:val="32"/>
          <w:szCs w:val="32"/>
        </w:rPr>
        <w:t>三是校企协同育人，</w:t>
      </w:r>
      <w:r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</w:rPr>
        <w:t>引入行业企业深度参与课程设计、项目实施与评价，将产业真问题、真场景引入课堂。</w:t>
      </w:r>
    </w:p>
    <w:p w14:paraId="2D582D6A">
      <w:pPr>
        <w:spacing w:line="560" w:lineRule="exact"/>
        <w:ind w:firstLine="643" w:firstLineChars="200"/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color w:val="000000"/>
          <w:kern w:val="0"/>
          <w:sz w:val="32"/>
          <w:szCs w:val="32"/>
        </w:rPr>
        <w:t>四是成果导向评价，</w:t>
      </w:r>
      <w:r>
        <w:rPr>
          <w:rFonts w:hint="eastAsia" w:ascii="仿宋_GB2312" w:hAnsi="仿宋" w:eastAsia="仿宋_GB2312" w:cs="宋体"/>
          <w:bCs/>
          <w:color w:val="000000"/>
          <w:kern w:val="0"/>
          <w:sz w:val="32"/>
          <w:szCs w:val="32"/>
        </w:rPr>
        <w:t>以项目成果，如方案设计、产品原型、项目报告等作为课程考核的核心依据，构建多元化的能力评价体系。鼓励课程团队依托未来农业学院平台，探索项目制课程与科研训练、学科竞赛、创新创业教育的有机衔接。申报课程需重构教学大纲，建立覆盖全周期的项目式教学过程管理与评价机制，鼓励跨学科、跨专业的课程团队联合申报。课程负责人应具有副教授及以上职称。</w:t>
      </w:r>
    </w:p>
    <w:p w14:paraId="7E4B1356">
      <w:pPr>
        <w:widowControl/>
        <w:spacing w:line="560" w:lineRule="exact"/>
        <w:ind w:firstLine="643" w:firstLineChars="200"/>
        <w:rPr>
          <w:rFonts w:hint="eastAsia" w:ascii="仿宋_GB2312" w:hAnsi="Calibri" w:eastAsia="仿宋_GB2312" w:cs="宋体"/>
          <w:color w:val="111111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b/>
          <w:color w:val="000000"/>
          <w:kern w:val="0"/>
          <w:sz w:val="32"/>
          <w:szCs w:val="32"/>
        </w:rPr>
        <w:t>立项课程要求在202</w:t>
      </w:r>
      <w:r>
        <w:rPr>
          <w:rFonts w:ascii="仿宋_GB2312" w:hAnsi="仿宋" w:eastAsia="仿宋_GB2312" w:cs="宋体"/>
          <w:b/>
          <w:color w:val="000000"/>
          <w:kern w:val="0"/>
          <w:sz w:val="32"/>
          <w:szCs w:val="32"/>
        </w:rPr>
        <w:t>6</w:t>
      </w:r>
      <w:r>
        <w:rPr>
          <w:rFonts w:hint="eastAsia" w:ascii="仿宋_GB2312" w:hAnsi="仿宋" w:eastAsia="仿宋_GB2312" w:cs="宋体"/>
          <w:b/>
          <w:color w:val="000000"/>
          <w:kern w:val="0"/>
          <w:sz w:val="32"/>
          <w:szCs w:val="32"/>
        </w:rPr>
        <w:t>年下半年或202</w:t>
      </w:r>
      <w:r>
        <w:rPr>
          <w:rFonts w:ascii="仿宋_GB2312" w:hAnsi="仿宋" w:eastAsia="仿宋_GB2312" w:cs="宋体"/>
          <w:b/>
          <w:color w:val="000000"/>
          <w:kern w:val="0"/>
          <w:sz w:val="32"/>
          <w:szCs w:val="32"/>
        </w:rPr>
        <w:t>7</w:t>
      </w:r>
      <w:r>
        <w:rPr>
          <w:rFonts w:hint="eastAsia" w:ascii="仿宋_GB2312" w:hAnsi="仿宋" w:eastAsia="仿宋_GB2312" w:cs="宋体"/>
          <w:b/>
          <w:color w:val="000000"/>
          <w:kern w:val="0"/>
          <w:sz w:val="32"/>
          <w:szCs w:val="32"/>
        </w:rPr>
        <w:t>年上半年开出；立项课程每年开设不少于1次，建设期内至少开展3-4次全校性示范课。</w:t>
      </w:r>
      <w:r>
        <w:rPr>
          <w:rFonts w:hint="eastAsia" w:ascii="仿宋_GB2312" w:hAnsi="仿宋" w:eastAsia="仿宋_GB2312" w:cs="宋体"/>
          <w:b/>
          <w:color w:val="000000"/>
          <w:kern w:val="0"/>
          <w:sz w:val="32"/>
          <w:szCs w:val="32"/>
          <w:lang w:eastAsia="zh-CN"/>
        </w:rPr>
        <w:t>提交一门课程完整的课程教学大纲、教学设计（教案）、考核大纲及教学指导书。</w:t>
      </w:r>
    </w:p>
    <w:p w14:paraId="076B9F56">
      <w:pPr>
        <w:spacing w:line="560" w:lineRule="exact"/>
        <w:jc w:val="both"/>
        <w:rPr>
          <w:rFonts w:hint="eastAsia" w:ascii="仿宋_GB2312" w:hAnsi="仿宋" w:eastAsia="仿宋_GB2312" w:cs="宋体"/>
          <w:b/>
          <w:bCs w:val="0"/>
          <w:color w:val="000000"/>
          <w:kern w:val="0"/>
          <w:sz w:val="32"/>
          <w:szCs w:val="32"/>
          <w:lang w:val="en-US" w:eastAsia="zh-CN"/>
        </w:rPr>
      </w:pPr>
    </w:p>
    <w:p w14:paraId="11E8EE5F">
      <w:pP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/>
        </w:rPr>
        <w:br w:type="page"/>
      </w:r>
    </w:p>
    <w:p w14:paraId="55C3255B">
      <w:pPr>
        <w:spacing w:line="560" w:lineRule="exact"/>
        <w:jc w:val="both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/>
        </w:rPr>
        <w:t>选题二：数智化课程考试改革</w:t>
      </w:r>
    </w:p>
    <w:p w14:paraId="34BE6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为落实教育数字化战略要求，主动服务学校高质量人才培养需求，学校以课程考核评价改革为突破口，开展人工智能赋能课程评价改革实践，推动课程评价由知识记忆型考查向能力发展型评价转变。项目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需突破传统期末考试侧重知识掌握和标准答案判断的模式，</w:t>
      </w:r>
      <w:r>
        <w:rPr>
          <w:rFonts w:hint="eastAsia" w:ascii="仿宋_GB2312" w:hAnsi="仿宋_GB2312" w:eastAsia="仿宋_GB2312" w:cs="仿宋_GB2312"/>
          <w:sz w:val="32"/>
          <w:szCs w:val="32"/>
        </w:rPr>
        <w:t>探索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AI开放+高阶能力考查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的考试模式，允许学生在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期末</w:t>
      </w:r>
      <w:r>
        <w:rPr>
          <w:rFonts w:hint="eastAsia" w:ascii="仿宋_GB2312" w:hAnsi="仿宋_GB2312" w:eastAsia="仿宋_GB2312" w:cs="仿宋_GB2312"/>
          <w:sz w:val="32"/>
          <w:szCs w:val="32"/>
        </w:rPr>
        <w:t>考试环节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规范</w:t>
      </w:r>
      <w:r>
        <w:rPr>
          <w:rFonts w:hint="eastAsia" w:ascii="仿宋_GB2312" w:hAnsi="仿宋_GB2312" w:eastAsia="仿宋_GB2312" w:cs="仿宋_GB2312"/>
          <w:sz w:val="32"/>
          <w:szCs w:val="32"/>
        </w:rPr>
        <w:t>使用生成式人工智能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工具，重点考查问题界定、信息甄别、批判性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思</w:t>
      </w:r>
      <w:r>
        <w:rPr>
          <w:rFonts w:hint="eastAsia" w:ascii="仿宋_GB2312" w:hAnsi="仿宋_GB2312" w:eastAsia="仿宋_GB2312" w:cs="仿宋_GB2312"/>
          <w:sz w:val="32"/>
          <w:szCs w:val="32"/>
        </w:rPr>
        <w:t>维、创新整合、伦理判断及复杂问题解决等高阶能力。</w:t>
      </w:r>
    </w:p>
    <w:p w14:paraId="08E1D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负责人须具备教学评价改革、数字化教学或课程建设经验，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依托</w:t>
      </w:r>
      <w:r>
        <w:rPr>
          <w:rFonts w:hint="eastAsia" w:ascii="仿宋_GB2312" w:hAnsi="仿宋_GB2312" w:eastAsia="仿宋_GB2312" w:cs="仿宋_GB2312"/>
          <w:sz w:val="32"/>
          <w:szCs w:val="32"/>
        </w:rPr>
        <w:t>课程应为已开设两轮及以上的本科必修课、专业核心课或通识核心课，具备可比的历史成绩基线。</w:t>
      </w:r>
    </w:p>
    <w:p w14:paraId="68339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验收要求</w:t>
      </w:r>
    </w:p>
    <w:p w14:paraId="5C8F4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重构课程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大纲。</w:t>
      </w:r>
      <w:r>
        <w:rPr>
          <w:rFonts w:hint="eastAsia" w:ascii="仿宋_GB2312" w:hAnsi="仿宋_GB2312" w:eastAsia="仿宋_GB2312" w:cs="仿宋_GB2312"/>
          <w:sz w:val="32"/>
          <w:szCs w:val="32"/>
        </w:rPr>
        <w:t>围绕课程目标和人才培养要求，优化过程性评价与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</w:t>
      </w:r>
      <w:r>
        <w:rPr>
          <w:rFonts w:hint="eastAsia" w:ascii="仿宋_GB2312" w:hAnsi="仿宋_GB2312" w:eastAsia="仿宋_GB2312" w:cs="仿宋_GB2312"/>
          <w:sz w:val="32"/>
          <w:szCs w:val="32"/>
        </w:rPr>
        <w:t>结性评价结构，降低对记忆性知识考查的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比例</w:t>
      </w:r>
      <w:r>
        <w:rPr>
          <w:rFonts w:hint="eastAsia" w:ascii="仿宋_GB2312" w:hAnsi="仿宋_GB2312" w:eastAsia="仿宋_GB2312" w:cs="仿宋_GB2312"/>
          <w:sz w:val="32"/>
          <w:szCs w:val="32"/>
        </w:rPr>
        <w:t>，增加开放性、综合性、探究性任务，重点考查学生提出问题、分析问题、整合信息、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批判性</w:t>
      </w:r>
      <w:r>
        <w:rPr>
          <w:rFonts w:hint="eastAsia" w:ascii="仿宋_GB2312" w:hAnsi="仿宋_GB2312" w:eastAsia="仿宋_GB2312" w:cs="仿宋_GB2312"/>
          <w:sz w:val="32"/>
          <w:szCs w:val="32"/>
        </w:rPr>
        <w:t>评价AI生成内容以及人机协同解决复杂问题能力。</w:t>
      </w:r>
    </w:p>
    <w:p w14:paraId="62375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二是设定AI使用边界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结合课程特点制定AI使用规范、评价标准和过程记录要求，明确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AI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工具的适用范围、使用方式和评价依据。建立AI使用声明、过程材料提交和评价证据留存机制，保障课程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的公平性、科学性和有效性。</w:t>
      </w:r>
    </w:p>
    <w:p w14:paraId="4B884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建立考试反馈机制。</w:t>
      </w:r>
      <w:r>
        <w:rPr>
          <w:rFonts w:hint="eastAsia" w:ascii="仿宋_GB2312" w:hAnsi="仿宋_GB2312" w:eastAsia="仿宋_GB2312" w:cs="仿宋_GB2312"/>
          <w:sz w:val="32"/>
          <w:szCs w:val="32"/>
        </w:rPr>
        <w:t>鼓励依托各智慧教学平台开展数智化考试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实践</w:t>
      </w:r>
      <w:r>
        <w:rPr>
          <w:rFonts w:hint="eastAsia" w:ascii="仿宋_GB2312" w:hAnsi="仿宋_GB2312" w:eastAsia="仿宋_GB2312" w:cs="仿宋_GB2312"/>
          <w:sz w:val="32"/>
          <w:szCs w:val="32"/>
        </w:rPr>
        <w:t>，探索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AI出题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—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学生作答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—</w:t>
      </w:r>
      <w:r>
        <w:rPr>
          <w:rFonts w:hint="eastAsia" w:ascii="仿宋_GB2312" w:hAnsi="仿宋_GB2312" w:eastAsia="仿宋_GB2312" w:cs="仿宋_GB2312"/>
          <w:sz w:val="32"/>
          <w:szCs w:val="32"/>
        </w:rPr>
        <w:t>AI辅助评阅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—</w:t>
      </w:r>
      <w:r>
        <w:rPr>
          <w:rFonts w:hint="eastAsia" w:ascii="仿宋_GB2312" w:hAnsi="仿宋_GB2312" w:eastAsia="仿宋_GB2312" w:cs="仿宋_GB2312"/>
          <w:sz w:val="32"/>
          <w:szCs w:val="32"/>
        </w:rPr>
        <w:t>教师复核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的新型考试流程。每轮考试试点结束后形成课程考试质量分析报告，重点分析课程目标达成度、学生能力表现、评价效果及改进措施，推动“教—学—评—改”闭环优化。</w:t>
      </w:r>
    </w:p>
    <w:p w14:paraId="19F80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立项课程要求在2026年下半年或2027年上半年完成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不少于1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次数智化考试试点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验收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时提交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修订后的课程考试大纲、考试试题、AI使用规则、课程考试质量分析报告、试点改革案例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等材料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5104D"/>
    <w:rsid w:val="06A26ADE"/>
    <w:rsid w:val="07D71DC7"/>
    <w:rsid w:val="083D5702"/>
    <w:rsid w:val="086C22C1"/>
    <w:rsid w:val="0F5F3E9F"/>
    <w:rsid w:val="112D6EFE"/>
    <w:rsid w:val="17E21B65"/>
    <w:rsid w:val="19942BBA"/>
    <w:rsid w:val="20086503"/>
    <w:rsid w:val="22BA7557"/>
    <w:rsid w:val="22E25882"/>
    <w:rsid w:val="261227E6"/>
    <w:rsid w:val="29216CBA"/>
    <w:rsid w:val="293A022A"/>
    <w:rsid w:val="29AA4C0C"/>
    <w:rsid w:val="304A22D8"/>
    <w:rsid w:val="30963095"/>
    <w:rsid w:val="32E5339D"/>
    <w:rsid w:val="394074C6"/>
    <w:rsid w:val="39F07CBA"/>
    <w:rsid w:val="42243B52"/>
    <w:rsid w:val="47FB404A"/>
    <w:rsid w:val="49D23EC1"/>
    <w:rsid w:val="5A291356"/>
    <w:rsid w:val="5CF5043D"/>
    <w:rsid w:val="61D03A37"/>
    <w:rsid w:val="624C7A0B"/>
    <w:rsid w:val="62EB4F4D"/>
    <w:rsid w:val="68436992"/>
    <w:rsid w:val="6C3812B1"/>
    <w:rsid w:val="6E686322"/>
    <w:rsid w:val="71A40E9D"/>
    <w:rsid w:val="72C83BD3"/>
    <w:rsid w:val="7A1B7E60"/>
    <w:rsid w:val="7A4814E3"/>
    <w:rsid w:val="7E680B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annotation reference"/>
    <w:basedOn w:val="5"/>
    <w:unhideWhenUsed/>
    <w:qFormat/>
    <w:uiPriority w:val="99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1465</Words>
  <Characters>1491</Characters>
  <Lines>0</Lines>
  <Paragraphs>0</Paragraphs>
  <TotalTime>0</TotalTime>
  <ScaleCrop>false</ScaleCrop>
  <LinksUpToDate>false</LinksUpToDate>
  <CharactersWithSpaces>1492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2026-07-20T01:50:00Z</dcterms:created>
  <dc:creator>ASUS</dc:creator>
  <cp:lastModifiedBy>山</cp:lastModifiedBy>
  <dcterms:modified xsi:type="dcterms:W3CDTF">2026-07-29T08:58:37Z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eyJoZGlkIjoiODY2MTA0NjA3ZDM1ZjUzZDMzZTQ5YTAxODg0ZGIyYWQiLCJ1c2VySWQiOiIxMjkyOTY4MDc0In0=</vt:lpwstr>
  </property>
  <property fmtid="{D5CDD505-2E9C-101B-9397-08002B2CF9AE}" pid="4" name="ICV">
    <vt:lpwstr>6C260CEA9CA7463CAA0256346046CA85_13</vt:lpwstr>
  </property>
</Properties>
</file>